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5" w:rsidRDefault="00FC38F5" w:rsidP="00FC38F5">
      <w:pPr>
        <w:pStyle w:val="DocTitle"/>
      </w:pPr>
      <w:r w:rsidRPr="00FC38F5">
        <w:rPr>
          <w:sz w:val="28"/>
          <w:szCs w:val="28"/>
        </w:rPr>
        <w:t>Second Generation Antipsychotics</w:t>
      </w:r>
      <w:r w:rsidR="001A0705">
        <w:rPr>
          <w:sz w:val="28"/>
          <w:szCs w:val="28"/>
        </w:rPr>
        <w:t xml:space="preserve"> (SGA)</w:t>
      </w:r>
      <w:r w:rsidRPr="00FC38F5">
        <w:rPr>
          <w:sz w:val="28"/>
          <w:szCs w:val="28"/>
        </w:rPr>
        <w:t xml:space="preserve"> Prior Authorization</w:t>
      </w:r>
      <w:r>
        <w:rPr>
          <w:sz w:val="28"/>
          <w:szCs w:val="28"/>
        </w:rPr>
        <w:t xml:space="preserve"> (PA)</w:t>
      </w:r>
      <w:r w:rsidRPr="00FC38F5">
        <w:rPr>
          <w:sz w:val="28"/>
          <w:szCs w:val="28"/>
        </w:rPr>
        <w:t xml:space="preserve"> Instructions</w:t>
      </w:r>
      <w:r>
        <w:br/>
      </w:r>
      <w:r w:rsidRPr="00C01AE5">
        <w:rPr>
          <w:sz w:val="24"/>
          <w:szCs w:val="24"/>
        </w:rPr>
        <w:t xml:space="preserve">New York State </w:t>
      </w:r>
      <w:r>
        <w:rPr>
          <w:sz w:val="24"/>
          <w:szCs w:val="24"/>
        </w:rPr>
        <w:t xml:space="preserve">FFS </w:t>
      </w:r>
      <w:r w:rsidRPr="00C01AE5">
        <w:rPr>
          <w:sz w:val="24"/>
          <w:szCs w:val="24"/>
        </w:rPr>
        <w:t>Medicaid Program</w:t>
      </w:r>
    </w:p>
    <w:p w:rsidR="00FC38F5" w:rsidRPr="00A468E0" w:rsidRDefault="00FC38F5" w:rsidP="00A468E0">
      <w:pPr>
        <w:pStyle w:val="BasicText"/>
        <w:spacing w:before="0" w:after="0" w:line="240" w:lineRule="auto"/>
        <w:rPr>
          <w:rFonts w:ascii="Calibri" w:hAnsi="Calibri"/>
          <w:szCs w:val="22"/>
        </w:rPr>
      </w:pPr>
      <w:r w:rsidRPr="00A468E0">
        <w:rPr>
          <w:rFonts w:ascii="Calibri" w:hAnsi="Calibri"/>
          <w:b/>
          <w:szCs w:val="22"/>
        </w:rPr>
        <w:t>Prior Authorization Call Line:</w:t>
      </w:r>
      <w:r w:rsidRPr="00A468E0">
        <w:rPr>
          <w:rFonts w:ascii="Calibri" w:hAnsi="Calibri"/>
          <w:szCs w:val="22"/>
        </w:rPr>
        <w:t xml:space="preserve"> 1-877-309-9493</w:t>
      </w:r>
      <w:r w:rsidRPr="00A468E0">
        <w:rPr>
          <w:rFonts w:ascii="Calibri" w:hAnsi="Calibri"/>
          <w:szCs w:val="22"/>
        </w:rPr>
        <w:tab/>
      </w:r>
      <w:r w:rsidRPr="00A468E0">
        <w:rPr>
          <w:rFonts w:ascii="Calibri" w:hAnsi="Calibri"/>
          <w:szCs w:val="22"/>
        </w:rPr>
        <w:tab/>
      </w:r>
      <w:r w:rsidRPr="00A468E0">
        <w:rPr>
          <w:rFonts w:ascii="Calibri" w:hAnsi="Calibri"/>
          <w:szCs w:val="22"/>
        </w:rPr>
        <w:tab/>
      </w:r>
      <w:r w:rsidRPr="00A468E0">
        <w:rPr>
          <w:rFonts w:ascii="Calibri" w:hAnsi="Calibri"/>
          <w:b/>
          <w:szCs w:val="22"/>
        </w:rPr>
        <w:t>Prior Authorization Fax Line:</w:t>
      </w:r>
      <w:r w:rsidRPr="00A468E0">
        <w:rPr>
          <w:rFonts w:ascii="Calibri" w:hAnsi="Calibri"/>
          <w:szCs w:val="22"/>
        </w:rPr>
        <w:t xml:space="preserve"> 1-800-268-2990</w:t>
      </w:r>
    </w:p>
    <w:p w:rsidR="00A02FDB" w:rsidRPr="00A02FDB" w:rsidRDefault="00A02FDB" w:rsidP="00A02FDB">
      <w:pPr>
        <w:pStyle w:val="Heading1"/>
        <w:spacing w:before="0" w:after="0"/>
        <w:rPr>
          <w:sz w:val="10"/>
          <w:szCs w:val="10"/>
        </w:rPr>
      </w:pPr>
    </w:p>
    <w:p w:rsidR="00A02FDB" w:rsidRPr="00E6479A" w:rsidRDefault="00A02FDB" w:rsidP="00A02FDB">
      <w:pPr>
        <w:pStyle w:val="Heading1"/>
        <w:spacing w:before="0" w:after="0"/>
        <w:rPr>
          <w:sz w:val="20"/>
          <w:szCs w:val="20"/>
        </w:rPr>
      </w:pPr>
      <w:r w:rsidRPr="003A2ADE">
        <w:rPr>
          <w:szCs w:val="20"/>
        </w:rPr>
        <w:t>Prescriber Procedure</w:t>
      </w:r>
    </w:p>
    <w:p w:rsidR="00E24C0A" w:rsidRPr="001E7201" w:rsidRDefault="00476611" w:rsidP="00A468E0">
      <w:pPr>
        <w:pStyle w:val="1P"/>
        <w:spacing w:before="0" w:after="0"/>
        <w:ind w:hanging="367"/>
        <w:rPr>
          <w:sz w:val="20"/>
          <w:szCs w:val="20"/>
        </w:rPr>
      </w:pPr>
      <w:r w:rsidRPr="001E7201">
        <w:rPr>
          <w:sz w:val="20"/>
          <w:szCs w:val="20"/>
        </w:rPr>
        <w:t>Please refer to the Preferred Drug List (PDL) for a</w:t>
      </w:r>
      <w:r w:rsidR="001A0705" w:rsidRPr="001E7201">
        <w:rPr>
          <w:sz w:val="20"/>
          <w:szCs w:val="20"/>
        </w:rPr>
        <w:t xml:space="preserve"> list</w:t>
      </w:r>
      <w:r w:rsidRPr="001E7201">
        <w:rPr>
          <w:sz w:val="20"/>
          <w:szCs w:val="20"/>
        </w:rPr>
        <w:t>ing</w:t>
      </w:r>
      <w:r w:rsidR="001A0705" w:rsidRPr="001E7201">
        <w:rPr>
          <w:sz w:val="20"/>
          <w:szCs w:val="20"/>
        </w:rPr>
        <w:t xml:space="preserve"> of</w:t>
      </w:r>
      <w:r w:rsidRPr="001E7201">
        <w:rPr>
          <w:sz w:val="20"/>
          <w:szCs w:val="20"/>
        </w:rPr>
        <w:t xml:space="preserve"> the preferred and non-preferred SGAs</w:t>
      </w:r>
      <w:r w:rsidR="001A0705" w:rsidRPr="001E7201">
        <w:rPr>
          <w:sz w:val="20"/>
          <w:szCs w:val="20"/>
        </w:rPr>
        <w:t xml:space="preserve"> </w:t>
      </w:r>
      <w:r w:rsidRPr="001E7201">
        <w:rPr>
          <w:sz w:val="20"/>
          <w:szCs w:val="20"/>
        </w:rPr>
        <w:t>and Coverage Parameters</w:t>
      </w:r>
      <w:r w:rsidR="00A02FDB">
        <w:rPr>
          <w:sz w:val="20"/>
          <w:szCs w:val="20"/>
        </w:rPr>
        <w:t xml:space="preserve"> prior to requesting PA</w:t>
      </w:r>
      <w:r w:rsidR="00EC4951" w:rsidRPr="001E7201">
        <w:rPr>
          <w:sz w:val="20"/>
          <w:szCs w:val="20"/>
        </w:rPr>
        <w:t xml:space="preserve">: </w:t>
      </w:r>
      <w:hyperlink r:id="rId8" w:history="1">
        <w:r w:rsidR="00E24C0A" w:rsidRPr="001E7201">
          <w:rPr>
            <w:rStyle w:val="Hyperlink"/>
            <w:sz w:val="20"/>
            <w:szCs w:val="20"/>
          </w:rPr>
          <w:t>https://newyork.fhsc.com/downloads/providers/NYRx_PDP_PDL.pdf</w:t>
        </w:r>
      </w:hyperlink>
    </w:p>
    <w:p w:rsidR="00FC38F5" w:rsidRPr="001E7201" w:rsidRDefault="00FC38F5" w:rsidP="00FC38F5">
      <w:pPr>
        <w:pStyle w:val="1P"/>
        <w:rPr>
          <w:sz w:val="20"/>
          <w:szCs w:val="20"/>
        </w:rPr>
      </w:pPr>
      <w:r w:rsidRPr="001E7201">
        <w:rPr>
          <w:sz w:val="20"/>
          <w:szCs w:val="20"/>
        </w:rPr>
        <w:t xml:space="preserve">Prescribers or agents of the prescriber may request PA </w:t>
      </w:r>
      <w:r w:rsidR="0037390E" w:rsidRPr="001E7201">
        <w:rPr>
          <w:sz w:val="20"/>
          <w:szCs w:val="20"/>
        </w:rPr>
        <w:t xml:space="preserve">for a non-preferred drug or a </w:t>
      </w:r>
      <w:r w:rsidR="00476611" w:rsidRPr="001E7201">
        <w:rPr>
          <w:sz w:val="20"/>
          <w:szCs w:val="20"/>
        </w:rPr>
        <w:t xml:space="preserve">preferred </w:t>
      </w:r>
      <w:r w:rsidR="0037390E" w:rsidRPr="001E7201">
        <w:rPr>
          <w:sz w:val="20"/>
          <w:szCs w:val="20"/>
        </w:rPr>
        <w:t>drug subject to step therapy or fr</w:t>
      </w:r>
      <w:r w:rsidR="00391FCE">
        <w:rPr>
          <w:sz w:val="20"/>
          <w:szCs w:val="20"/>
        </w:rPr>
        <w:t xml:space="preserve">equency/quantity/duration </w:t>
      </w:r>
      <w:r w:rsidR="0037390E" w:rsidRPr="001E7201">
        <w:rPr>
          <w:sz w:val="20"/>
          <w:szCs w:val="20"/>
        </w:rPr>
        <w:t xml:space="preserve">limits </w:t>
      </w:r>
      <w:r w:rsidRPr="001E7201">
        <w:rPr>
          <w:sz w:val="20"/>
          <w:szCs w:val="20"/>
        </w:rPr>
        <w:t>either by c</w:t>
      </w:r>
      <w:r w:rsidR="0037390E" w:rsidRPr="001E7201">
        <w:rPr>
          <w:sz w:val="20"/>
          <w:szCs w:val="20"/>
        </w:rPr>
        <w:t>ontacting</w:t>
      </w:r>
      <w:r w:rsidRPr="001E7201">
        <w:rPr>
          <w:sz w:val="20"/>
          <w:szCs w:val="20"/>
        </w:rPr>
        <w:t xml:space="preserve"> the call center or</w:t>
      </w:r>
      <w:r w:rsidR="00391FCE">
        <w:rPr>
          <w:sz w:val="20"/>
          <w:szCs w:val="20"/>
        </w:rPr>
        <w:t xml:space="preserve"> by using the PA form</w:t>
      </w:r>
      <w:r w:rsidR="008B6116">
        <w:rPr>
          <w:sz w:val="20"/>
          <w:szCs w:val="20"/>
        </w:rPr>
        <w:t xml:space="preserve">. </w:t>
      </w:r>
      <w:r w:rsidR="008B6116" w:rsidRPr="008B6116">
        <w:rPr>
          <w:sz w:val="20"/>
          <w:szCs w:val="20"/>
        </w:rPr>
        <w:t>An authorized agent is an employee of the prescribing practitioner and has access to the patient's medical records (i.e. nurse, medical assistant)</w:t>
      </w:r>
    </w:p>
    <w:p w:rsidR="0037390E" w:rsidRPr="001E7201" w:rsidRDefault="0037390E" w:rsidP="0037390E">
      <w:pPr>
        <w:pStyle w:val="1P"/>
        <w:numPr>
          <w:ilvl w:val="1"/>
          <w:numId w:val="1"/>
        </w:numPr>
        <w:rPr>
          <w:sz w:val="20"/>
          <w:szCs w:val="20"/>
        </w:rPr>
      </w:pPr>
      <w:r w:rsidRPr="001E7201">
        <w:rPr>
          <w:sz w:val="20"/>
          <w:szCs w:val="20"/>
        </w:rPr>
        <w:t>To initiate the PA process via phone, the prescriber must contact the clinical call center at 1-877-309-9493, select Option “1” for Prescriber and then select Option “1” again to reach an agent.</w:t>
      </w:r>
    </w:p>
    <w:p w:rsidR="00FE1A75" w:rsidRPr="001E7201" w:rsidRDefault="0037390E" w:rsidP="001E7201">
      <w:pPr>
        <w:pStyle w:val="1P"/>
        <w:numPr>
          <w:ilvl w:val="1"/>
          <w:numId w:val="1"/>
        </w:numPr>
        <w:rPr>
          <w:sz w:val="20"/>
          <w:szCs w:val="20"/>
        </w:rPr>
      </w:pPr>
      <w:r w:rsidRPr="001E7201">
        <w:rPr>
          <w:sz w:val="20"/>
          <w:szCs w:val="20"/>
        </w:rPr>
        <w:t>To initiate the PA process via fax, a</w:t>
      </w:r>
      <w:r w:rsidR="00FC38F5" w:rsidRPr="001E7201">
        <w:rPr>
          <w:sz w:val="20"/>
          <w:szCs w:val="20"/>
        </w:rPr>
        <w:t xml:space="preserve"> completed </w:t>
      </w:r>
      <w:r w:rsidRPr="001E7201">
        <w:rPr>
          <w:sz w:val="20"/>
          <w:szCs w:val="20"/>
        </w:rPr>
        <w:t>PA</w:t>
      </w:r>
      <w:r w:rsidR="00FC38F5" w:rsidRPr="001E7201">
        <w:rPr>
          <w:sz w:val="20"/>
          <w:szCs w:val="20"/>
        </w:rPr>
        <w:t xml:space="preserve"> request form should be sent to 1-800-268-2990.</w:t>
      </w:r>
      <w:r w:rsidRPr="001E7201">
        <w:rPr>
          <w:sz w:val="20"/>
          <w:szCs w:val="20"/>
        </w:rPr>
        <w:t xml:space="preserve">  To expedite the process, please be certain to complete the form</w:t>
      </w:r>
      <w:r w:rsidR="001E7201" w:rsidRPr="001E7201">
        <w:rPr>
          <w:sz w:val="20"/>
          <w:szCs w:val="20"/>
        </w:rPr>
        <w:t xml:space="preserve"> in its entirety</w:t>
      </w:r>
      <w:r w:rsidRPr="001E7201">
        <w:rPr>
          <w:sz w:val="20"/>
          <w:szCs w:val="20"/>
        </w:rPr>
        <w:t>, including case specific diagnosis.</w:t>
      </w:r>
      <w:r w:rsidR="00FC38F5" w:rsidRPr="001E7201">
        <w:rPr>
          <w:sz w:val="20"/>
          <w:szCs w:val="20"/>
        </w:rPr>
        <w:t xml:space="preserve"> Fax requests may take up to 24 hours to process. </w:t>
      </w:r>
      <w:r w:rsidRPr="001E7201">
        <w:rPr>
          <w:sz w:val="20"/>
          <w:szCs w:val="20"/>
        </w:rPr>
        <w:t xml:space="preserve">The PA form is available at: </w:t>
      </w:r>
      <w:hyperlink r:id="rId9" w:history="1">
        <w:r w:rsidR="00FE1A75" w:rsidRPr="001E7201">
          <w:rPr>
            <w:rStyle w:val="Hyperlink"/>
            <w:sz w:val="20"/>
            <w:szCs w:val="20"/>
          </w:rPr>
          <w:t>https://newyork.fhsc.com/downloads/providers/NYRx_PDP_PA_Fax_Standardized.pdf</w:t>
        </w:r>
      </w:hyperlink>
    </w:p>
    <w:p w:rsidR="00FC38F5" w:rsidRPr="001E7201" w:rsidRDefault="00615AC8" w:rsidP="00A468E0">
      <w:pPr>
        <w:pStyle w:val="1P"/>
        <w:spacing w:before="0"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FC38F5" w:rsidRPr="001E7201">
        <w:rPr>
          <w:sz w:val="20"/>
          <w:szCs w:val="20"/>
        </w:rPr>
        <w:t>e prepared to provide the following information when calling</w:t>
      </w:r>
      <w:r w:rsidR="0037390E" w:rsidRPr="001E7201">
        <w:rPr>
          <w:sz w:val="20"/>
          <w:szCs w:val="20"/>
        </w:rPr>
        <w:t xml:space="preserve"> for a SGA PA</w:t>
      </w:r>
      <w:r w:rsidR="00FC38F5" w:rsidRPr="001E7201">
        <w:rPr>
          <w:sz w:val="20"/>
          <w:szCs w:val="20"/>
        </w:rPr>
        <w:t>:</w:t>
      </w:r>
    </w:p>
    <w:p w:rsidR="00FC38F5" w:rsidRPr="001E7201" w:rsidRDefault="00FC38F5" w:rsidP="00A468E0">
      <w:pPr>
        <w:pStyle w:val="2P"/>
        <w:numPr>
          <w:ilvl w:val="0"/>
          <w:numId w:val="7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Prescriber’s NPI</w:t>
      </w:r>
    </w:p>
    <w:p w:rsidR="00FC38F5" w:rsidRPr="001E7201" w:rsidRDefault="00FC38F5" w:rsidP="00A468E0">
      <w:pPr>
        <w:pStyle w:val="2P"/>
        <w:numPr>
          <w:ilvl w:val="0"/>
          <w:numId w:val="7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Enrollee’s Medicaid ID number</w:t>
      </w:r>
    </w:p>
    <w:p w:rsidR="00EC4951" w:rsidRPr="001E7201" w:rsidRDefault="00FC38F5" w:rsidP="00A468E0">
      <w:pPr>
        <w:pStyle w:val="2P"/>
        <w:numPr>
          <w:ilvl w:val="0"/>
          <w:numId w:val="7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Drug name</w:t>
      </w:r>
      <w:r w:rsidR="00EC4951" w:rsidRPr="001E7201">
        <w:rPr>
          <w:sz w:val="20"/>
          <w:szCs w:val="20"/>
        </w:rPr>
        <w:t xml:space="preserve">, strength, directions, quantity and number of refills </w:t>
      </w:r>
    </w:p>
    <w:p w:rsidR="00FC38F5" w:rsidRPr="001E7201" w:rsidRDefault="00EC4951" w:rsidP="00A468E0">
      <w:pPr>
        <w:pStyle w:val="2P"/>
        <w:numPr>
          <w:ilvl w:val="0"/>
          <w:numId w:val="7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 xml:space="preserve">Clinical rationale for </w:t>
      </w:r>
      <w:r w:rsidR="0037390E" w:rsidRPr="001E7201">
        <w:rPr>
          <w:sz w:val="20"/>
          <w:szCs w:val="20"/>
        </w:rPr>
        <w:t>use of the SGA</w:t>
      </w:r>
    </w:p>
    <w:p w:rsidR="00FC38F5" w:rsidRPr="001E7201" w:rsidRDefault="00EC4951" w:rsidP="00FC38F5">
      <w:pPr>
        <w:pStyle w:val="1P"/>
        <w:rPr>
          <w:sz w:val="20"/>
          <w:szCs w:val="20"/>
        </w:rPr>
      </w:pPr>
      <w:r w:rsidRPr="001E7201">
        <w:rPr>
          <w:sz w:val="20"/>
          <w:szCs w:val="20"/>
        </w:rPr>
        <w:t xml:space="preserve">Be prepared to answer the following questions.  </w:t>
      </w:r>
      <w:r w:rsidR="00476611" w:rsidRPr="001E7201">
        <w:rPr>
          <w:sz w:val="20"/>
          <w:szCs w:val="20"/>
        </w:rPr>
        <w:t>You</w:t>
      </w:r>
      <w:r w:rsidRPr="001E7201">
        <w:rPr>
          <w:sz w:val="20"/>
          <w:szCs w:val="20"/>
        </w:rPr>
        <w:t xml:space="preserve"> may not </w:t>
      </w:r>
      <w:r w:rsidR="004740B5" w:rsidRPr="001E7201">
        <w:rPr>
          <w:sz w:val="20"/>
          <w:szCs w:val="20"/>
        </w:rPr>
        <w:t xml:space="preserve">need to answer </w:t>
      </w:r>
      <w:r w:rsidR="00476611" w:rsidRPr="001E7201">
        <w:rPr>
          <w:sz w:val="20"/>
          <w:szCs w:val="20"/>
        </w:rPr>
        <w:t>all questions, depending on your patient’s case:</w:t>
      </w:r>
    </w:p>
    <w:p w:rsidR="00EC4951" w:rsidRPr="001E7201" w:rsidRDefault="00EC4951" w:rsidP="00A468E0">
      <w:pPr>
        <w:pStyle w:val="1P"/>
        <w:numPr>
          <w:ilvl w:val="1"/>
          <w:numId w:val="1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What is the patient’s diagnosis?</w:t>
      </w:r>
    </w:p>
    <w:p w:rsidR="00EC4951" w:rsidRPr="001E7201" w:rsidRDefault="00EC4951" w:rsidP="00A468E0">
      <w:pPr>
        <w:pStyle w:val="1P"/>
        <w:numPr>
          <w:ilvl w:val="1"/>
          <w:numId w:val="1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Are you a psychiatrist or is there documentation of an evaluation by a psychiatrist?</w:t>
      </w:r>
    </w:p>
    <w:p w:rsidR="00FC38F5" w:rsidRPr="001E7201" w:rsidRDefault="00FC38F5" w:rsidP="00A468E0">
      <w:pPr>
        <w:pStyle w:val="1P"/>
        <w:numPr>
          <w:ilvl w:val="1"/>
          <w:numId w:val="1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 xml:space="preserve">Has the patient experienced a treatment failure with the preferred </w:t>
      </w:r>
      <w:r w:rsidR="00EC4951" w:rsidRPr="001E7201">
        <w:rPr>
          <w:sz w:val="20"/>
          <w:szCs w:val="20"/>
        </w:rPr>
        <w:t>SGA</w:t>
      </w:r>
      <w:r w:rsidRPr="001E7201">
        <w:rPr>
          <w:sz w:val="20"/>
          <w:szCs w:val="20"/>
        </w:rPr>
        <w:t>?</w:t>
      </w:r>
    </w:p>
    <w:p w:rsidR="00FC38F5" w:rsidRPr="001E7201" w:rsidRDefault="00FC38F5" w:rsidP="00A468E0">
      <w:pPr>
        <w:pStyle w:val="1P"/>
        <w:numPr>
          <w:ilvl w:val="1"/>
          <w:numId w:val="1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 xml:space="preserve">Has the patient experienced an adverse drug reaction with a preferred </w:t>
      </w:r>
      <w:r w:rsidR="00EC4951" w:rsidRPr="001E7201">
        <w:rPr>
          <w:sz w:val="20"/>
          <w:szCs w:val="20"/>
        </w:rPr>
        <w:t>SGA</w:t>
      </w:r>
      <w:r w:rsidRPr="001E7201">
        <w:rPr>
          <w:sz w:val="20"/>
          <w:szCs w:val="20"/>
        </w:rPr>
        <w:t>?</w:t>
      </w:r>
    </w:p>
    <w:p w:rsidR="001E7201" w:rsidRPr="001E7201" w:rsidRDefault="00FC38F5" w:rsidP="00A468E0">
      <w:pPr>
        <w:pStyle w:val="1P"/>
        <w:numPr>
          <w:ilvl w:val="1"/>
          <w:numId w:val="1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 xml:space="preserve">Is there a documented history of successful therapeutic control with a non-preferred </w:t>
      </w:r>
      <w:r w:rsidR="00EC4951" w:rsidRPr="001E7201">
        <w:rPr>
          <w:sz w:val="20"/>
          <w:szCs w:val="20"/>
        </w:rPr>
        <w:t>SGA</w:t>
      </w:r>
      <w:r w:rsidRPr="001E7201">
        <w:rPr>
          <w:sz w:val="20"/>
          <w:szCs w:val="20"/>
        </w:rPr>
        <w:t xml:space="preserve"> and transition to a preferred </w:t>
      </w:r>
      <w:r w:rsidR="00EC4951" w:rsidRPr="001E7201">
        <w:rPr>
          <w:sz w:val="20"/>
          <w:szCs w:val="20"/>
        </w:rPr>
        <w:t>SGA</w:t>
      </w:r>
      <w:r w:rsidRPr="001E7201">
        <w:rPr>
          <w:sz w:val="20"/>
          <w:szCs w:val="20"/>
        </w:rPr>
        <w:t xml:space="preserve"> is medically contraindicated?</w:t>
      </w:r>
    </w:p>
    <w:p w:rsidR="00A02FDB" w:rsidRPr="00A02FDB" w:rsidRDefault="00A02FDB" w:rsidP="00A468E0">
      <w:pPr>
        <w:pStyle w:val="BasicText"/>
        <w:spacing w:before="0" w:after="0"/>
        <w:rPr>
          <w:rFonts w:ascii="Calibri" w:hAnsi="Calibri"/>
          <w:b/>
          <w:color w:val="403152"/>
          <w:sz w:val="10"/>
          <w:szCs w:val="10"/>
        </w:rPr>
      </w:pPr>
    </w:p>
    <w:p w:rsidR="00EC4951" w:rsidRPr="001E7201" w:rsidRDefault="00A76F2C" w:rsidP="00A468E0">
      <w:pPr>
        <w:pStyle w:val="BasicText"/>
        <w:spacing w:before="0" w:after="0"/>
        <w:rPr>
          <w:rFonts w:ascii="Calibri" w:hAnsi="Calibri"/>
          <w:b/>
          <w:color w:val="403152"/>
          <w:sz w:val="26"/>
          <w:szCs w:val="26"/>
        </w:rPr>
      </w:pPr>
      <w:r w:rsidRPr="001E7201">
        <w:rPr>
          <w:rFonts w:ascii="Calibri" w:hAnsi="Calibri"/>
          <w:b/>
          <w:color w:val="403152"/>
          <w:sz w:val="26"/>
          <w:szCs w:val="26"/>
        </w:rPr>
        <w:t>Additional</w:t>
      </w:r>
      <w:r w:rsidR="0037390E" w:rsidRPr="001E7201">
        <w:rPr>
          <w:rFonts w:ascii="Calibri" w:hAnsi="Calibri"/>
          <w:b/>
          <w:color w:val="403152"/>
          <w:sz w:val="26"/>
          <w:szCs w:val="26"/>
        </w:rPr>
        <w:t xml:space="preserve"> Note</w:t>
      </w:r>
      <w:r w:rsidRPr="001E7201">
        <w:rPr>
          <w:rFonts w:ascii="Calibri" w:hAnsi="Calibri"/>
          <w:b/>
          <w:color w:val="403152"/>
          <w:sz w:val="26"/>
          <w:szCs w:val="26"/>
        </w:rPr>
        <w:t>s</w:t>
      </w:r>
    </w:p>
    <w:p w:rsidR="00E24C0A" w:rsidRPr="001E7201" w:rsidRDefault="0037390E" w:rsidP="00A468E0">
      <w:pPr>
        <w:pStyle w:val="BasicText"/>
        <w:numPr>
          <w:ilvl w:val="0"/>
          <w:numId w:val="3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There are FQD and Age Limits for some of the SGAs.  Please refer to the PDL for additional information, prior to requesting PA for this class:</w:t>
      </w:r>
      <w:r w:rsidR="001E7201">
        <w:rPr>
          <w:sz w:val="20"/>
          <w:szCs w:val="20"/>
        </w:rPr>
        <w:t xml:space="preserve"> </w:t>
      </w:r>
      <w:hyperlink r:id="rId10" w:history="1">
        <w:r w:rsidR="00E24C0A" w:rsidRPr="001E7201">
          <w:rPr>
            <w:rStyle w:val="Hyperlink"/>
            <w:sz w:val="20"/>
            <w:szCs w:val="20"/>
          </w:rPr>
          <w:t>https://newyork.fhsc.com/downloads/providers/NYRx_PDP_PDL.pdf</w:t>
        </w:r>
      </w:hyperlink>
    </w:p>
    <w:p w:rsidR="00EC4951" w:rsidRPr="001E7201" w:rsidRDefault="00EC4951" w:rsidP="00EC4951">
      <w:pPr>
        <w:pStyle w:val="2P"/>
        <w:numPr>
          <w:ilvl w:val="0"/>
          <w:numId w:val="3"/>
        </w:numPr>
        <w:rPr>
          <w:sz w:val="20"/>
          <w:szCs w:val="20"/>
        </w:rPr>
      </w:pPr>
      <w:r w:rsidRPr="001E7201">
        <w:rPr>
          <w:sz w:val="20"/>
          <w:szCs w:val="20"/>
        </w:rPr>
        <w:t>Please be prepared to provide clinical rationale/documentation in the following cases:</w:t>
      </w:r>
    </w:p>
    <w:p w:rsidR="00EC4951" w:rsidRPr="001E7201" w:rsidRDefault="00EC4951" w:rsidP="00A468E0">
      <w:pPr>
        <w:pStyle w:val="2P"/>
        <w:numPr>
          <w:ilvl w:val="1"/>
          <w:numId w:val="3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If a patient is below the dr</w:t>
      </w:r>
      <w:r w:rsidR="00A76F2C" w:rsidRPr="001E7201">
        <w:rPr>
          <w:sz w:val="20"/>
          <w:szCs w:val="20"/>
        </w:rPr>
        <w:t xml:space="preserve">ug-specific minimum age </w:t>
      </w:r>
      <w:r w:rsidRPr="001E7201">
        <w:rPr>
          <w:sz w:val="20"/>
          <w:szCs w:val="20"/>
        </w:rPr>
        <w:t xml:space="preserve"> </w:t>
      </w:r>
    </w:p>
    <w:p w:rsidR="00EC4951" w:rsidRPr="001E7201" w:rsidRDefault="00EC4951" w:rsidP="00A468E0">
      <w:pPr>
        <w:pStyle w:val="2P"/>
        <w:numPr>
          <w:ilvl w:val="1"/>
          <w:numId w:val="3"/>
        </w:numPr>
        <w:spacing w:before="0" w:after="0"/>
        <w:rPr>
          <w:sz w:val="20"/>
          <w:szCs w:val="20"/>
        </w:rPr>
      </w:pPr>
      <w:r w:rsidRPr="001E7201">
        <w:rPr>
          <w:sz w:val="20"/>
          <w:szCs w:val="20"/>
        </w:rPr>
        <w:t>If the patient does not have an FDA Approved or Compendia-supported</w:t>
      </w:r>
      <w:r w:rsidR="004740B5" w:rsidRPr="001E7201">
        <w:rPr>
          <w:sz w:val="20"/>
          <w:szCs w:val="20"/>
        </w:rPr>
        <w:t xml:space="preserve"> diagnosis for the SGA</w:t>
      </w:r>
    </w:p>
    <w:p w:rsidR="001E7201" w:rsidRPr="001E7201" w:rsidRDefault="001E7201" w:rsidP="0037390E">
      <w:pPr>
        <w:pStyle w:val="2P"/>
        <w:numPr>
          <w:ilvl w:val="0"/>
          <w:numId w:val="3"/>
        </w:numPr>
        <w:rPr>
          <w:sz w:val="20"/>
          <w:szCs w:val="20"/>
        </w:rPr>
      </w:pPr>
      <w:r w:rsidRPr="001E7201">
        <w:rPr>
          <w:rFonts w:cs="Arial"/>
          <w:sz w:val="20"/>
          <w:szCs w:val="20"/>
        </w:rPr>
        <w:t>Please consider providing the following information if it is relevant and applies to</w:t>
      </w:r>
      <w:r>
        <w:rPr>
          <w:rFonts w:cs="Arial"/>
          <w:sz w:val="20"/>
          <w:szCs w:val="20"/>
        </w:rPr>
        <w:t xml:space="preserve"> the</w:t>
      </w:r>
      <w:r w:rsidRPr="001E7201">
        <w:rPr>
          <w:rFonts w:cs="Arial"/>
          <w:sz w:val="20"/>
          <w:szCs w:val="20"/>
        </w:rPr>
        <w:t xml:space="preserve"> patient:</w:t>
      </w:r>
    </w:p>
    <w:p w:rsidR="001E7201" w:rsidRPr="001E7201" w:rsidRDefault="001E7201" w:rsidP="00A468E0">
      <w:pPr>
        <w:numPr>
          <w:ilvl w:val="1"/>
          <w:numId w:val="3"/>
        </w:numPr>
        <w:spacing w:line="276" w:lineRule="auto"/>
        <w:contextualSpacing/>
        <w:rPr>
          <w:rFonts w:cs="Arial"/>
          <w:sz w:val="20"/>
          <w:szCs w:val="20"/>
        </w:rPr>
      </w:pPr>
      <w:r w:rsidRPr="001E7201">
        <w:rPr>
          <w:rFonts w:cs="Arial"/>
          <w:sz w:val="20"/>
          <w:szCs w:val="20"/>
        </w:rPr>
        <w:t xml:space="preserve">Transition of Care Hospital and/or Residential Treatment Facilities Information (contact, phone number, length of stay) </w:t>
      </w:r>
    </w:p>
    <w:p w:rsidR="001E7201" w:rsidRPr="001E7201" w:rsidRDefault="001E7201" w:rsidP="00A468E0">
      <w:pPr>
        <w:numPr>
          <w:ilvl w:val="1"/>
          <w:numId w:val="3"/>
        </w:numPr>
        <w:spacing w:line="276" w:lineRule="auto"/>
        <w:contextualSpacing/>
        <w:rPr>
          <w:rFonts w:cs="Arial"/>
          <w:sz w:val="20"/>
          <w:szCs w:val="20"/>
        </w:rPr>
      </w:pPr>
      <w:r w:rsidRPr="001E7201">
        <w:rPr>
          <w:rFonts w:cs="Arial"/>
          <w:sz w:val="20"/>
          <w:szCs w:val="20"/>
        </w:rPr>
        <w:t xml:space="preserve">Life Situations Information such as foster care transition, etc. </w:t>
      </w:r>
    </w:p>
    <w:p w:rsidR="00EC4951" w:rsidRPr="001E7201" w:rsidRDefault="00EC4951" w:rsidP="0037390E">
      <w:pPr>
        <w:pStyle w:val="2P"/>
        <w:numPr>
          <w:ilvl w:val="0"/>
          <w:numId w:val="3"/>
        </w:numPr>
        <w:rPr>
          <w:sz w:val="20"/>
          <w:szCs w:val="20"/>
        </w:rPr>
      </w:pPr>
      <w:r w:rsidRPr="001E7201">
        <w:rPr>
          <w:sz w:val="20"/>
          <w:szCs w:val="20"/>
        </w:rPr>
        <w:t>I</w:t>
      </w:r>
      <w:r w:rsidR="0037390E" w:rsidRPr="001E7201">
        <w:rPr>
          <w:sz w:val="20"/>
          <w:szCs w:val="20"/>
        </w:rPr>
        <w:t xml:space="preserve">n some cases, you may be transferred to a pharmacist to complete </w:t>
      </w:r>
      <w:r w:rsidR="004740B5" w:rsidRPr="001E7201">
        <w:rPr>
          <w:sz w:val="20"/>
          <w:szCs w:val="20"/>
        </w:rPr>
        <w:t>the PA request.  If the patient is under the drug-specific minimum age and is not established on the medication,</w:t>
      </w:r>
      <w:r w:rsidR="0037390E" w:rsidRPr="001E7201">
        <w:rPr>
          <w:sz w:val="20"/>
          <w:szCs w:val="20"/>
        </w:rPr>
        <w:t xml:space="preserve"> </w:t>
      </w:r>
      <w:r w:rsidR="001E7201">
        <w:rPr>
          <w:sz w:val="20"/>
          <w:szCs w:val="20"/>
        </w:rPr>
        <w:t>the prescriber</w:t>
      </w:r>
      <w:r w:rsidR="0037390E" w:rsidRPr="001E7201">
        <w:rPr>
          <w:sz w:val="20"/>
          <w:szCs w:val="20"/>
        </w:rPr>
        <w:t xml:space="preserve"> </w:t>
      </w:r>
      <w:r w:rsidR="00E24C0A" w:rsidRPr="001E7201">
        <w:rPr>
          <w:sz w:val="20"/>
          <w:szCs w:val="20"/>
        </w:rPr>
        <w:t>may</w:t>
      </w:r>
      <w:r w:rsidR="0037390E" w:rsidRPr="001E7201">
        <w:rPr>
          <w:sz w:val="20"/>
          <w:szCs w:val="20"/>
        </w:rPr>
        <w:t xml:space="preserve"> be required to </w:t>
      </w:r>
      <w:r w:rsidR="00A76F2C" w:rsidRPr="001E7201">
        <w:rPr>
          <w:sz w:val="20"/>
          <w:szCs w:val="20"/>
        </w:rPr>
        <w:t>have a peer-to-</w:t>
      </w:r>
      <w:r w:rsidR="004740B5" w:rsidRPr="001E7201">
        <w:rPr>
          <w:sz w:val="20"/>
          <w:szCs w:val="20"/>
        </w:rPr>
        <w:t>peer review</w:t>
      </w:r>
      <w:r w:rsidR="0037390E" w:rsidRPr="001E7201">
        <w:rPr>
          <w:sz w:val="20"/>
          <w:szCs w:val="20"/>
        </w:rPr>
        <w:t xml:space="preserve"> with a medical </w:t>
      </w:r>
      <w:r w:rsidR="004740B5" w:rsidRPr="001E7201">
        <w:rPr>
          <w:sz w:val="20"/>
          <w:szCs w:val="20"/>
        </w:rPr>
        <w:t xml:space="preserve">director to </w:t>
      </w:r>
      <w:r w:rsidR="00A76F2C" w:rsidRPr="001E7201">
        <w:rPr>
          <w:sz w:val="20"/>
          <w:szCs w:val="20"/>
        </w:rPr>
        <w:t xml:space="preserve">further </w:t>
      </w:r>
      <w:r w:rsidR="004740B5" w:rsidRPr="001E7201">
        <w:rPr>
          <w:sz w:val="20"/>
          <w:szCs w:val="20"/>
        </w:rPr>
        <w:t>discuss the clinical rationale for prescribing outside FDA approved guidelines.</w:t>
      </w:r>
    </w:p>
    <w:p w:rsidR="0037390E" w:rsidRPr="001E7201" w:rsidRDefault="0037390E" w:rsidP="0037390E">
      <w:pPr>
        <w:pStyle w:val="2P"/>
        <w:numPr>
          <w:ilvl w:val="0"/>
          <w:numId w:val="3"/>
        </w:numPr>
        <w:rPr>
          <w:sz w:val="20"/>
          <w:szCs w:val="20"/>
        </w:rPr>
      </w:pPr>
      <w:r w:rsidRPr="001E7201">
        <w:rPr>
          <w:sz w:val="20"/>
          <w:szCs w:val="20"/>
        </w:rPr>
        <w:t>At any time</w:t>
      </w:r>
      <w:r w:rsidR="004740B5" w:rsidRPr="001E7201">
        <w:rPr>
          <w:sz w:val="20"/>
          <w:szCs w:val="20"/>
        </w:rPr>
        <w:t xml:space="preserve"> during the PA process</w:t>
      </w:r>
      <w:r w:rsidRPr="001E7201">
        <w:rPr>
          <w:sz w:val="20"/>
          <w:szCs w:val="20"/>
        </w:rPr>
        <w:t>, th</w:t>
      </w:r>
      <w:r w:rsidR="00A76F2C" w:rsidRPr="001E7201">
        <w:rPr>
          <w:sz w:val="20"/>
          <w:szCs w:val="20"/>
        </w:rPr>
        <w:t>e prescriber can request a peer-</w:t>
      </w:r>
      <w:r w:rsidRPr="001E7201">
        <w:rPr>
          <w:sz w:val="20"/>
          <w:szCs w:val="20"/>
        </w:rPr>
        <w:t>to</w:t>
      </w:r>
      <w:r w:rsidR="00A76F2C" w:rsidRPr="001E7201">
        <w:rPr>
          <w:sz w:val="20"/>
          <w:szCs w:val="20"/>
        </w:rPr>
        <w:t>-</w:t>
      </w:r>
      <w:r w:rsidR="004740B5" w:rsidRPr="001E7201">
        <w:rPr>
          <w:sz w:val="20"/>
          <w:szCs w:val="20"/>
        </w:rPr>
        <w:t>peer review</w:t>
      </w:r>
      <w:r w:rsidR="00E24C0A" w:rsidRPr="001E7201">
        <w:rPr>
          <w:sz w:val="20"/>
          <w:szCs w:val="20"/>
        </w:rPr>
        <w:t xml:space="preserve"> with the</w:t>
      </w:r>
      <w:r w:rsidRPr="001E7201">
        <w:rPr>
          <w:sz w:val="20"/>
          <w:szCs w:val="20"/>
        </w:rPr>
        <w:t xml:space="preserve"> medical director to discuss your patient, the clinical criteria and the medication that is being requested.</w:t>
      </w:r>
    </w:p>
    <w:p w:rsidR="00F24DA5" w:rsidRPr="00A468E0" w:rsidRDefault="00A76F2C" w:rsidP="00A468E0">
      <w:pPr>
        <w:pStyle w:val="2P"/>
        <w:numPr>
          <w:ilvl w:val="0"/>
          <w:numId w:val="3"/>
        </w:numPr>
        <w:rPr>
          <w:sz w:val="20"/>
          <w:szCs w:val="20"/>
        </w:rPr>
      </w:pPr>
      <w:r w:rsidRPr="001E7201">
        <w:rPr>
          <w:sz w:val="20"/>
          <w:szCs w:val="20"/>
        </w:rPr>
        <w:t>If a peer-to-</w:t>
      </w:r>
      <w:r w:rsidR="004740B5" w:rsidRPr="001E7201">
        <w:rPr>
          <w:sz w:val="20"/>
          <w:szCs w:val="20"/>
        </w:rPr>
        <w:t xml:space="preserve">peer review is required or is requested, </w:t>
      </w:r>
      <w:r w:rsidR="00E24C0A" w:rsidRPr="001E7201">
        <w:rPr>
          <w:sz w:val="20"/>
          <w:szCs w:val="20"/>
        </w:rPr>
        <w:t xml:space="preserve">please note that </w:t>
      </w:r>
      <w:r w:rsidR="004740B5" w:rsidRPr="001E7201">
        <w:rPr>
          <w:sz w:val="20"/>
          <w:szCs w:val="20"/>
        </w:rPr>
        <w:t xml:space="preserve">the medical director will contact the prescriber within 24 hours.  </w:t>
      </w:r>
      <w:r w:rsidR="00E24C0A" w:rsidRPr="001E7201">
        <w:rPr>
          <w:sz w:val="20"/>
          <w:szCs w:val="20"/>
        </w:rPr>
        <w:t xml:space="preserve">It is important to provide detailed and accurate contact information and hours of availability so the medical director can reach the prescriber </w:t>
      </w:r>
      <w:r w:rsidR="00C26E34">
        <w:rPr>
          <w:sz w:val="20"/>
          <w:szCs w:val="20"/>
        </w:rPr>
        <w:t>promptly</w:t>
      </w:r>
      <w:r w:rsidR="00E24C0A" w:rsidRPr="001E7201">
        <w:rPr>
          <w:sz w:val="20"/>
          <w:szCs w:val="20"/>
        </w:rPr>
        <w:t>.</w:t>
      </w:r>
    </w:p>
    <w:sectPr w:rsidR="00F24DA5" w:rsidRPr="00A468E0" w:rsidSect="008B611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540" w:left="1080" w:header="450" w:footer="2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A2" w:rsidRDefault="000717A2" w:rsidP="00A93A76">
      <w:r>
        <w:separator/>
      </w:r>
    </w:p>
  </w:endnote>
  <w:endnote w:type="continuationSeparator" w:id="0">
    <w:p w:rsidR="000717A2" w:rsidRDefault="000717A2" w:rsidP="00A9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Borders>
        <w:top w:val="single" w:sz="4" w:space="0" w:color="21578A"/>
      </w:tblBorders>
      <w:tblLayout w:type="fixed"/>
      <w:tblCellMar>
        <w:top w:w="43" w:type="dxa"/>
        <w:left w:w="0" w:type="dxa"/>
        <w:right w:w="0" w:type="dxa"/>
      </w:tblCellMar>
      <w:tblLook w:val="01E0"/>
    </w:tblPr>
    <w:tblGrid>
      <w:gridCol w:w="6930"/>
      <w:gridCol w:w="3150"/>
    </w:tblGrid>
    <w:tr w:rsidR="004740B5" w:rsidTr="00817E47">
      <w:trPr>
        <w:jc w:val="center"/>
      </w:trPr>
      <w:tc>
        <w:tcPr>
          <w:tcW w:w="6930" w:type="dxa"/>
          <w:tcBorders>
            <w:top w:val="single" w:sz="4" w:space="0" w:color="55165E"/>
          </w:tcBorders>
        </w:tcPr>
        <w:p w:rsidR="004740B5" w:rsidRDefault="004740B5" w:rsidP="00817E47">
          <w:pPr>
            <w:pStyle w:val="Footer"/>
            <w:tabs>
              <w:tab w:val="left" w:pos="1615"/>
            </w:tabs>
          </w:pPr>
          <w:r>
            <w:t>Proprietary &amp; Confidential</w:t>
          </w:r>
        </w:p>
      </w:tc>
      <w:tc>
        <w:tcPr>
          <w:tcW w:w="3150" w:type="dxa"/>
          <w:tcBorders>
            <w:top w:val="single" w:sz="4" w:space="0" w:color="55165E"/>
          </w:tcBorders>
        </w:tcPr>
        <w:p w:rsidR="004740B5" w:rsidRDefault="004740B5" w:rsidP="00817E47">
          <w:pPr>
            <w:pStyle w:val="Footer"/>
            <w:jc w:val="right"/>
          </w:pPr>
          <w:r>
            <w:t xml:space="preserve">Page </w:t>
          </w:r>
          <w:r w:rsidR="003B21A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3B21A1">
            <w:rPr>
              <w:rStyle w:val="PageNumber"/>
            </w:rPr>
            <w:fldChar w:fldCharType="separate"/>
          </w:r>
          <w:r w:rsidR="008B6116">
            <w:rPr>
              <w:rStyle w:val="PageNumber"/>
              <w:noProof/>
            </w:rPr>
            <w:t>2</w:t>
          </w:r>
          <w:r w:rsidR="003B21A1">
            <w:rPr>
              <w:rStyle w:val="PageNumber"/>
            </w:rPr>
            <w:fldChar w:fldCharType="end"/>
          </w:r>
        </w:p>
      </w:tc>
    </w:tr>
    <w:tr w:rsidR="004740B5" w:rsidTr="00817E47">
      <w:trPr>
        <w:jc w:val="center"/>
      </w:trPr>
      <w:tc>
        <w:tcPr>
          <w:tcW w:w="6930" w:type="dxa"/>
        </w:tcPr>
        <w:p w:rsidR="004740B5" w:rsidRDefault="004740B5" w:rsidP="00817E47">
          <w:pPr>
            <w:pStyle w:val="Footer"/>
          </w:pPr>
        </w:p>
      </w:tc>
      <w:tc>
        <w:tcPr>
          <w:tcW w:w="3150" w:type="dxa"/>
        </w:tcPr>
        <w:p w:rsidR="004740B5" w:rsidRDefault="004740B5" w:rsidP="00817E47">
          <w:pPr>
            <w:pStyle w:val="Footer"/>
            <w:jc w:val="right"/>
          </w:pPr>
          <w:r>
            <w:t xml:space="preserve">Revision Date: </w:t>
          </w:r>
          <w:fldSimple w:instr=" DATE \@ &quot;MMMM d, yyyy&quot; ">
            <w:r w:rsidR="00C63E11">
              <w:rPr>
                <w:noProof/>
              </w:rPr>
              <w:t>March 26, 2014</w:t>
            </w:r>
          </w:fldSimple>
        </w:p>
      </w:tc>
    </w:tr>
  </w:tbl>
  <w:p w:rsidR="004740B5" w:rsidRPr="007600AC" w:rsidRDefault="004740B5" w:rsidP="00817E47">
    <w:pPr>
      <w:pStyle w:val="Footer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16" w:rsidRDefault="008B6116" w:rsidP="00817E47">
    <w:pPr>
      <w:pStyle w:val="Footer"/>
    </w:pPr>
    <w:r>
      <w:t xml:space="preserve"> </w:t>
    </w:r>
  </w:p>
  <w:p w:rsidR="004740B5" w:rsidRDefault="004740B5" w:rsidP="00817E47">
    <w:pPr>
      <w:pStyle w:val="Footer"/>
    </w:pPr>
    <w:r>
      <w:t>Proprietary &amp; Confidential</w:t>
    </w:r>
    <w:r>
      <w:br/>
    </w:r>
    <w:r w:rsidRPr="00A57F13">
      <w:rPr>
        <w:szCs w:val="20"/>
      </w:rPr>
      <w:t xml:space="preserve">© </w:t>
    </w:r>
    <w:r>
      <w:t>201</w:t>
    </w:r>
    <w:r w:rsidR="00A76F2C">
      <w:t>3</w:t>
    </w:r>
    <w:r>
      <w:t>, Magellan Health Services, Inc. All Rights Reserved.</w:t>
    </w:r>
    <w:r w:rsidR="001156D4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11430</wp:posOffset>
          </wp:positionH>
          <wp:positionV relativeFrom="page">
            <wp:posOffset>9144000</wp:posOffset>
          </wp:positionV>
          <wp:extent cx="7780655" cy="914400"/>
          <wp:effectExtent l="19050" t="0" r="0" b="0"/>
          <wp:wrapNone/>
          <wp:docPr id="1" name="Picture 2" descr="MMA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A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A2" w:rsidRDefault="000717A2" w:rsidP="00A93A76">
      <w:r>
        <w:separator/>
      </w:r>
    </w:p>
  </w:footnote>
  <w:footnote w:type="continuationSeparator" w:id="0">
    <w:p w:rsidR="000717A2" w:rsidRDefault="000717A2" w:rsidP="00A93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Borders>
        <w:bottom w:val="single" w:sz="8" w:space="0" w:color="55165E"/>
      </w:tblBorders>
      <w:tblCellMar>
        <w:left w:w="0" w:type="dxa"/>
        <w:bottom w:w="43" w:type="dxa"/>
        <w:right w:w="0" w:type="dxa"/>
      </w:tblCellMar>
      <w:tblLook w:val="01E0"/>
    </w:tblPr>
    <w:tblGrid>
      <w:gridCol w:w="3360"/>
      <w:gridCol w:w="6720"/>
    </w:tblGrid>
    <w:tr w:rsidR="004740B5" w:rsidRPr="00A57F13" w:rsidTr="00817E47">
      <w:trPr>
        <w:jc w:val="center"/>
      </w:trPr>
      <w:tc>
        <w:tcPr>
          <w:tcW w:w="3360" w:type="dxa"/>
        </w:tcPr>
        <w:p w:rsidR="004740B5" w:rsidRDefault="004740B5" w:rsidP="00817E47">
          <w:pPr>
            <w:pStyle w:val="Header"/>
          </w:pPr>
          <w:r>
            <w:t>Magellan Medicaid Administration</w:t>
          </w:r>
        </w:p>
      </w:tc>
      <w:tc>
        <w:tcPr>
          <w:tcW w:w="6720" w:type="dxa"/>
        </w:tcPr>
        <w:p w:rsidR="004740B5" w:rsidRDefault="00A76F2C" w:rsidP="00817E47">
          <w:pPr>
            <w:pStyle w:val="Header"/>
            <w:jc w:val="right"/>
          </w:pPr>
          <w:r>
            <w:t xml:space="preserve">SGA </w:t>
          </w:r>
          <w:r w:rsidR="004740B5" w:rsidRPr="003A2ADE">
            <w:t xml:space="preserve">Prior Authorization Instructions </w:t>
          </w:r>
        </w:p>
      </w:tc>
    </w:tr>
  </w:tbl>
  <w:p w:rsidR="004740B5" w:rsidRPr="005A260B" w:rsidRDefault="004740B5" w:rsidP="00817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5" w:rsidRDefault="001156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4905375</wp:posOffset>
          </wp:positionH>
          <wp:positionV relativeFrom="page">
            <wp:align>top</wp:align>
          </wp:positionV>
          <wp:extent cx="2867025" cy="1752600"/>
          <wp:effectExtent l="19050" t="0" r="9525" b="0"/>
          <wp:wrapNone/>
          <wp:docPr id="2" name="Picture 6" descr="MMA_Accent_Arc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A_Accent_Arc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2AB"/>
    <w:multiLevelType w:val="hybridMultilevel"/>
    <w:tmpl w:val="18FA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417"/>
    <w:multiLevelType w:val="hybridMultilevel"/>
    <w:tmpl w:val="E7926EC2"/>
    <w:lvl w:ilvl="0" w:tplc="D22A1B52">
      <w:start w:val="1"/>
      <w:numFmt w:val="bullet"/>
      <w:pStyle w:val="1P"/>
      <w:lvlText w:val=""/>
      <w:lvlJc w:val="left"/>
      <w:pPr>
        <w:tabs>
          <w:tab w:val="num" w:pos="367"/>
        </w:tabs>
        <w:ind w:left="3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99C0FBA"/>
    <w:multiLevelType w:val="hybridMultilevel"/>
    <w:tmpl w:val="F9D60B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D34D30"/>
    <w:multiLevelType w:val="hybridMultilevel"/>
    <w:tmpl w:val="F26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AD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4FCC0535"/>
    <w:multiLevelType w:val="hybridMultilevel"/>
    <w:tmpl w:val="ECECC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202744"/>
    <w:multiLevelType w:val="hybridMultilevel"/>
    <w:tmpl w:val="51906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readOnly" w:enforcement="1" w:cryptProviderType="rsaFull" w:cryptAlgorithmClass="hash" w:cryptAlgorithmType="typeAny" w:cryptAlgorithmSid="4" w:cryptSpinCount="100000" w:hash="fKAmjD+P44uz0Aqyr6MZJ6W8M/U=" w:salt="IFFqXvynfqb6U3yC0RXyY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C38F5"/>
    <w:rsid w:val="00065CD6"/>
    <w:rsid w:val="000717A2"/>
    <w:rsid w:val="001156D4"/>
    <w:rsid w:val="00131A2E"/>
    <w:rsid w:val="001A0705"/>
    <w:rsid w:val="001E7201"/>
    <w:rsid w:val="002C4EBE"/>
    <w:rsid w:val="002C73B4"/>
    <w:rsid w:val="0037390E"/>
    <w:rsid w:val="00391FCE"/>
    <w:rsid w:val="003B0027"/>
    <w:rsid w:val="003B21A1"/>
    <w:rsid w:val="00413EFD"/>
    <w:rsid w:val="00444E3E"/>
    <w:rsid w:val="004740B5"/>
    <w:rsid w:val="00476611"/>
    <w:rsid w:val="005D5A61"/>
    <w:rsid w:val="00615AC8"/>
    <w:rsid w:val="00647D17"/>
    <w:rsid w:val="006E2C70"/>
    <w:rsid w:val="00781DC5"/>
    <w:rsid w:val="00817E47"/>
    <w:rsid w:val="008B6116"/>
    <w:rsid w:val="0091302D"/>
    <w:rsid w:val="0094669A"/>
    <w:rsid w:val="009839BD"/>
    <w:rsid w:val="009F67C4"/>
    <w:rsid w:val="00A0104D"/>
    <w:rsid w:val="00A02FDB"/>
    <w:rsid w:val="00A468E0"/>
    <w:rsid w:val="00A660D1"/>
    <w:rsid w:val="00A76F2C"/>
    <w:rsid w:val="00A93A76"/>
    <w:rsid w:val="00B02085"/>
    <w:rsid w:val="00C14EDA"/>
    <w:rsid w:val="00C22A56"/>
    <w:rsid w:val="00C26E34"/>
    <w:rsid w:val="00C61628"/>
    <w:rsid w:val="00C63E11"/>
    <w:rsid w:val="00CB6B93"/>
    <w:rsid w:val="00D85275"/>
    <w:rsid w:val="00E24C0A"/>
    <w:rsid w:val="00EC4951"/>
    <w:rsid w:val="00ED4373"/>
    <w:rsid w:val="00F24DA5"/>
    <w:rsid w:val="00FC38F5"/>
    <w:rsid w:val="00FE1A75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8F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C38F5"/>
    <w:pPr>
      <w:keepNext/>
      <w:spacing w:before="80" w:after="40"/>
      <w:outlineLvl w:val="0"/>
    </w:pPr>
    <w:rPr>
      <w:rFonts w:ascii="Calibri" w:hAnsi="Calibri" w:cs="Arial"/>
      <w:b/>
      <w:bCs/>
      <w:color w:val="55165E"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8F5"/>
    <w:rPr>
      <w:rFonts w:ascii="Calibri" w:eastAsia="Times New Roman" w:hAnsi="Calibri" w:cs="Arial"/>
      <w:b/>
      <w:bCs/>
      <w:color w:val="55165E"/>
      <w:kern w:val="32"/>
      <w:sz w:val="26"/>
      <w:szCs w:val="32"/>
    </w:rPr>
  </w:style>
  <w:style w:type="paragraph" w:customStyle="1" w:styleId="1P">
    <w:name w:val="1P"/>
    <w:qFormat/>
    <w:rsid w:val="00FC38F5"/>
    <w:pPr>
      <w:numPr>
        <w:numId w:val="1"/>
      </w:numPr>
      <w:spacing w:before="60" w:after="60" w:line="264" w:lineRule="auto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FC38F5"/>
    <w:pPr>
      <w:numPr>
        <w:numId w:val="2"/>
      </w:numPr>
      <w:spacing w:before="60" w:after="60" w:line="264" w:lineRule="auto"/>
      <w:ind w:left="1094" w:hanging="547"/>
    </w:pPr>
  </w:style>
  <w:style w:type="paragraph" w:customStyle="1" w:styleId="BasicText">
    <w:name w:val="BasicText"/>
    <w:link w:val="BasicTextChar"/>
    <w:qFormat/>
    <w:rsid w:val="00FC38F5"/>
    <w:pPr>
      <w:spacing w:before="120" w:after="120" w:line="264" w:lineRule="auto"/>
    </w:pPr>
    <w:rPr>
      <w:rFonts w:ascii="Cambria" w:eastAsia="Times New Roman" w:hAnsi="Cambria"/>
      <w:sz w:val="22"/>
      <w:szCs w:val="24"/>
    </w:rPr>
  </w:style>
  <w:style w:type="paragraph" w:customStyle="1" w:styleId="DocTitle">
    <w:name w:val="DocTitle"/>
    <w:rsid w:val="00FC38F5"/>
    <w:pPr>
      <w:pBdr>
        <w:bottom w:val="single" w:sz="4" w:space="1" w:color="55165E"/>
      </w:pBdr>
      <w:spacing w:after="6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FC38F5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FC38F5"/>
    <w:rPr>
      <w:rFonts w:eastAsia="Times New Roman"/>
      <w:color w:val="697178"/>
      <w:sz w:val="18"/>
      <w:szCs w:val="24"/>
      <w:lang w:val="en-US" w:eastAsia="en-US" w:bidi="ar-SA"/>
    </w:rPr>
  </w:style>
  <w:style w:type="paragraph" w:styleId="Header">
    <w:name w:val="header"/>
    <w:link w:val="HeaderChar"/>
    <w:rsid w:val="00FC38F5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FC38F5"/>
    <w:rPr>
      <w:rFonts w:eastAsia="Times New Roman"/>
      <w:color w:val="697178"/>
      <w:sz w:val="18"/>
      <w:szCs w:val="16"/>
      <w:lang w:val="en-US" w:eastAsia="en-US" w:bidi="ar-SA"/>
    </w:rPr>
  </w:style>
  <w:style w:type="character" w:styleId="Hyperlink">
    <w:name w:val="Hyperlink"/>
    <w:basedOn w:val="DefaultParagraphFont"/>
    <w:semiHidden/>
    <w:rsid w:val="00FC38F5"/>
    <w:rPr>
      <w:color w:val="0000FF"/>
      <w:u w:val="single"/>
    </w:rPr>
  </w:style>
  <w:style w:type="character" w:styleId="PageNumber">
    <w:name w:val="page number"/>
    <w:basedOn w:val="DefaultParagraphFont"/>
    <w:semiHidden/>
    <w:rsid w:val="00FC38F5"/>
  </w:style>
  <w:style w:type="character" w:customStyle="1" w:styleId="BasicTextChar">
    <w:name w:val="BasicText Char"/>
    <w:basedOn w:val="DefaultParagraphFont"/>
    <w:link w:val="BasicText"/>
    <w:rsid w:val="00FC38F5"/>
    <w:rPr>
      <w:rFonts w:ascii="Cambria" w:eastAsia="Times New Roman" w:hAnsi="Cambria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F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72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york.fhsc.com/downloads/providers/NYRx_PDP_PDL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york.fhsc.com/downloads/providers/NYRx_PDP_PD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york.fhsc.com/downloads/providers/NYRx_PDP_PA_Fax_Standardized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529E-57B2-45BA-8EF8-9760B15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3967</CharactersWithSpaces>
  <SharedDoc>false</SharedDoc>
  <HLinks>
    <vt:vector size="18" baseType="variant"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https://newyork.fhsc.com/downloads/providers/NYRx_PDP_PDL.pdf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https://newyork.fhsc.com/downloads/providers/NYRx_PDP_PA_Fax_Standardized.pdf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https://newyork.fhsc.com/downloads/providers/NYRx_PDP_PDL.pdf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</dc:creator>
  <cp:lastModifiedBy>smirabile</cp:lastModifiedBy>
  <cp:revision>4</cp:revision>
  <dcterms:created xsi:type="dcterms:W3CDTF">2013-12-20T14:49:00Z</dcterms:created>
  <dcterms:modified xsi:type="dcterms:W3CDTF">2014-03-26T17:51:00Z</dcterms:modified>
</cp:coreProperties>
</file>